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5f1a491e64cf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12702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OSNOVNA ŠKOLA PIROVAC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575.404,65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610.212,80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632.874,04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615.628,10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57.469,39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5.415,30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7.205,64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8.243,98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7.205,64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8.243,98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114,4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64.675,03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13.659,28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21,1</w:t>
            </w:r>
          </w:p>
        </w:tc>
      </w:tr>
    </w:tbl>
    <w:p>
      <w:pPr>
        <w:spacing w:before="0" w:after="0"/>
      </w:pPr>
    </w:p>
    <w:p>
      <w:r>
        <w:t xml:space="preserve">U razdoblju od 01.01.2025. do 30.09.2025. OŠ Pirovac ostvarila je ukupne prihode od 610.212,80 eura (šifra 6) što je 6 % više u odnosu na isto razdoblje prethodne godine. Ukupni rashodi poslovanja iznose 615.628,10 eura  (šifra 3), što je za 2,7 % više u odnosu na isto razdoblje prethodne godine. Ukupni rashodi za nabavu nefinancijske imovine (šifra 4) iznose 8.243,98 eura. Bilježimo porast prihoda i neznatno smanjenje rashoda. Do smanjenja rashoda došlo je zbog toga što će nastati u slijedećem obračunskom razdoblju. Škola je ostvarila manjak prihoda i primitaka (šifra y005) u iznosu od 13.659,28 eura. Manjak se odnosi na materijalne troškove zaposlenih i škole koji dospijevaju u listopadu 2025.godine, te za tro§kove nabave udžbenika za školsku godinu 2026./2027. koji će biti plaćeni kad Ministarstvo doznači sredstva i izlazne račune koji dospijevaju u listopadu 2026. godine.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575.404,65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610.212,80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106,0</w:t>
            </w:r>
          </w:p>
        </w:tc>
      </w:tr>
    </w:tbl>
    <w:p>
      <w:pPr>
        <w:spacing w:before="0" w:after="0"/>
      </w:pPr>
    </w:p>
    <w:p>
      <w:r>
        <w:t xml:space="preserve">Povećanje od 6% odnosi se na povećanje prihoda ostvarenih od pružanja usluga (najam sportske dvorane raznim sportskim klubovima).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545.496,14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525.333,48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96,3</w:t>
            </w:r>
          </w:p>
        </w:tc>
      </w:tr>
    </w:tbl>
    <w:p>
      <w:pPr>
        <w:spacing w:before="0" w:after="0"/>
      </w:pPr>
    </w:p>
    <w:p>
      <w:r>
        <w:t xml:space="preserve">Do smanjenja rashoda za zaposlene u ovom izvještajnom razdoblju 2026. godine u odnosu na isto izvještajno razdoblje 2025. godine  došlo je zbog  primjene novog pravilnika od proračunskom računovodstvu jer se plaće za 12.mjesec više ne evidentiraju na kontu vremenskog razgraničenja.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11.201,44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11.465,27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102,4</w:t>
            </w:r>
          </w:p>
        </w:tc>
      </w:tr>
    </w:tbl>
    <w:p>
      <w:pPr>
        <w:spacing w:before="0" w:after="0"/>
      </w:pPr>
    </w:p>
    <w:p>
      <w:r>
        <w:t xml:space="preserve">Povećanje se odnosi na isplatu materijalnih prava za zaposlene.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troškova zaposlenima (šifre 3211 do 3214)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24.939,75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25.581,04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102,6</w:t>
            </w:r>
          </w:p>
        </w:tc>
      </w:tr>
    </w:tbl>
    <w:p>
      <w:pPr>
        <w:spacing w:before="0" w:after="0"/>
      </w:pPr>
    </w:p>
    <w:p>
      <w:r>
        <w:t xml:space="preserve">Povećanje od 2,6% se najvećim dijelom odnosi na naknade za prijevoz, za rad na terenu i odvojeni život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2.678,79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4.100,17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153,1</w:t>
            </w:r>
          </w:p>
        </w:tc>
      </w:tr>
    </w:tbl>
    <w:p>
      <w:pPr>
        <w:spacing w:before="0" w:after="0"/>
      </w:pPr>
    </w:p>
    <w:p>
      <w:r>
        <w:t xml:space="preserve">Povećanje rashoda od 53,1% odnosi se na povećanje rashoda za uredski materijal, materijal za čišćenje, materijal za higijenske potrebe i ostali materijal za potrebe redovnog poslovanja. Došlo je do povećanja rashoda jer su prošle godine nastali u drugom dijelu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1.464,56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2.798,27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191,1</w:t>
            </w:r>
          </w:p>
        </w:tc>
      </w:tr>
    </w:tbl>
    <w:p>
      <w:pPr>
        <w:spacing w:before="0" w:after="0"/>
      </w:pPr>
    </w:p>
    <w:p>
      <w:r>
        <w:t xml:space="preserve">Do značajnog porasta rashoda za intelektualne i osobne usluge najvećim dijelom došlo je zbog aktivnosti "Sigurnost u školama"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1.000,48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2.210,47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220,9</w:t>
            </w:r>
          </w:p>
        </w:tc>
      </w:tr>
    </w:tbl>
    <w:p>
      <w:pPr>
        <w:spacing w:before="0" w:after="0"/>
      </w:pPr>
    </w:p>
    <w:p>
      <w:r>
        <w:t xml:space="preserve">Do povećanja rashoda u ovom izvještajnom razdoblju  je došlo zbog servisa i čišćenja uređaja za klimatizaciju.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Bankarske usluge i usluge platnog prometa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260,57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180,5</w:t>
            </w:r>
          </w:p>
        </w:tc>
      </w:tr>
    </w:tbl>
    <w:p>
      <w:pPr>
        <w:spacing w:before="0" w:after="0"/>
      </w:pPr>
    </w:p>
    <w:p>
      <w:r>
        <w:t xml:space="preserve">Porast rashoda za bankarske i usluge platnog prometa bilježimo zbod obnove certifikata ua FIN-u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Postrojenja i oprema (šifre 4221 do 4228)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3.078,75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Dobili smo sredstva od Osnivača za nabavu 3 računala i računalnu opremu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47cb57cf6344ba" /></Relationships>
</file>