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703f14bf29a34d38"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12702</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PIROVAC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VI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402.087,17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418.966,95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457.626,72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419.957,98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55.539,55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991,03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3.078,75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55.539,55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4.069,78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7,3</w:t>
            </w:r>
          </w:p>
        </w:tc>
      </w:tr>
    </w:tbl>
    <w:p>
      <w:pPr>
        <w:spacing w:before="0" w:after="0"/>
      </w:pPr>
    </w:p>
    <w:p>
      <w:r>
        <w:t xml:space="preserve">Osnovna škola Pirovac je u izvještajnom razdoblju od 01.01.2026. do 30.06.2026. ostvarila ukupne prihode u iznosu od 418.966,95 EUR (šifra 6) što je 4,2% više u odnosu na isto razdoblje prošle godine. Povećanje prihoda od 4,2% u odnosu na prošlu godinu je nastalo jer smo u ovom izvještajnom razdoblju povećali Prihode od pruženih usluga. (6615) i također smo ostvarili Prihode iz nadležnog proračuna za financiranje rashoda za nabavu nefinancijske imovine (67212) u iznosu od 3.078,75 eura. </w:t>
      </w:r>
    </w:p>
    <w:p>
      <w:r>
        <w:t xml:space="preserve">Ukupni rashodi poslovanja iznose 419.957,98 EUR (šifra 3 i Z005) što je za 8,2% manje u odnosu na isto razdoblje prošle godine. Smanjenje rashoda za 18,2% nastalo je jer smo u ovom izvještajunom razdoblju prošle godine imali rashode koje će nam ove godine nastati u slijedećem izvještajnom razdoblju kao npr. službeni put, stručno usavršavanje, komunalne usluge, ostale usluge i sl. </w:t>
      </w:r>
    </w:p>
    <w:p>
      <w:r>
        <w:t xml:space="preserve">Škola je ostvarila manjak prihoda i primitaka (šifra Y005)u iznosu od 4.069,78 eura. Manjak se odnosi na materijalne troškove zaposlenih i škole koji će biti plaćeni u srpnju 2026.godine.</w:t>
      </w:r>
    </w:p>
    <w:p>
      <w:r>
        <w:t xml:space="preserve">Uspoređujući polugodišnji izvještaj prošle godine sa izvještajem ove godine uviđamo da je razlika prihoda i rashoda u ovoj godini smanjena, tj. da rashodi nisu veći od prihoda. Novim Pravilnikom o proračunskom računovodstvu Rashodi za zaposlene i ostali režijski troškovi se ne evidentiraju na kontu vremenskog razgraničenja te spomenuti troškovi nisu evidentirani u rashodima, već u prenesenom manjku poslovanja.</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353.776,80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374.238,87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105,8</w:t>
            </w:r>
          </w:p>
        </w:tc>
      </w:tr>
    </w:tbl>
    <w:p>
      <w:pPr>
        <w:spacing w:before="0" w:after="0"/>
      </w:pPr>
    </w:p>
    <w:p>
      <w:r>
        <w:t xml:space="preserve">Povećanje prihoda od 5,8% odnosi se na povećanje izdataka za plaće djelatnika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596,04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350,8</w:t>
            </w:r>
          </w:p>
        </w:tc>
      </w:tr>
    </w:tbl>
    <w:p>
      <w:pPr>
        <w:spacing w:before="0" w:after="0"/>
      </w:pPr>
    </w:p>
    <w:p>
      <w:r>
        <w:t xml:space="preserve">Ostvareni prihod odnosi se na najam sportske dvorane Karate klubu Pirovac, Sportskom điru Pirovac i Hrvačkom klubu Pirovac. Odstupanje od 250,8% je zato što u istom izvještajnom razdoblju prošle imali smo 2 partnera, u ovom 3 i prilikom potpisivanja novih ugovora u 2026. godini sa Sportskim đirom i Karate klubom došlo je do promjene satnice sa 5,31 eura/sat povećana je sanica na 10,00 eura/sat.</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457.626,72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419.957,98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91,8</w:t>
            </w:r>
          </w:p>
        </w:tc>
      </w:tr>
    </w:tbl>
    <w:p>
      <w:pPr>
        <w:spacing w:before="0" w:after="0"/>
      </w:pPr>
    </w:p>
    <w:p>
      <w:r>
        <w:t xml:space="preserve">Smanjenje rashoda za 8,2% nastalo je jer smo u ovom izvještajunom razdoblju prošle godine imali rashode koje će nam ove godine nastati u slijedećem izvještajnom razdoblju kao npr. službeni put, stručno usavršavanje, komunalne usluge, ostale usluge i sl.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(šifra V007) iznosi 0.00 EUR,  OŠ Pirovac nema iskazanih dospjelih obveza. Sve obveze koje su iskazane su nedospjele, odnose se na obveze za materijalne rashode, obveze za financijske rashode, ostale tekuće obveze i obveze za zaposlene koje dospijevaju u srpnju 2026.godine.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58c4776dfc2f43ab" /></Relationships>
</file>