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478b049400447c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12702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PIROVAC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764.066,49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804.798,19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740.116,72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856.956,11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52.157,92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28.803,55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7.606,43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28.803,55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7.606,43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26,4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4.853,78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59.764,35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1231,3</w:t>
            </w:r>
          </w:p>
        </w:tc>
      </w:tr>
    </w:tbl>
    <w:p>
      <w:pPr>
        <w:spacing w:before="0" w:after="0"/>
      </w:pPr>
    </w:p>
    <w:p>
      <w:r>
        <w:t xml:space="preserve">Osnovna škola Pirovac je u izvještajnom razdoblju od 01.01.2025 do 31.12.2025 ostvarila ukupne prihode u iznosu od 804.798,19 EUR (šifra 6) što je za 5,3% više u odnosu na isto razdoblje prethodne godine. Ukupni rashodi poslovanja iznose 856.956,11 EUR (šifra 3 i Z005) što je za 15,8% više u odnosu na isto razdoblje prethodne godine. Bilježimo porast prihoda, ali i rashoda koji su nastali zbog povećanih cijena materijalnih i ostalih rashoda poslovanja Osnovna škola Pirovac je ostvarila manjak prihoda i primitaka (šifra Y005) u iznosu od 59.764,35 EUR . Manjak se odnosi na materijalne troškove zaposlenih i škole koji dospijevaju u siječnju 2026. godine. Višak prihoda od 2.171,44 EUR (šifra 9221) a odnosi se na sredstva iz prethodnih godina, većim dijelom vlastita sredstva od najma aparata za napitke, te učione za sastanak društva Naša djeca Jastrebarsko.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5.435,00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7.515,06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138,3</w:t>
            </w:r>
          </w:p>
        </w:tc>
      </w:tr>
    </w:tbl>
    <w:p>
      <w:pPr>
        <w:spacing w:before="0" w:after="0"/>
      </w:pPr>
    </w:p>
    <w:p>
      <w:r>
        <w:t xml:space="preserve">Prvi puta nakon 7 godina promijenili smo dio udžbenika zbog dotrajalosti.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601,79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143,3</w:t>
            </w:r>
          </w:p>
        </w:tc>
      </w:tr>
    </w:tbl>
    <w:p>
      <w:pPr>
        <w:spacing w:before="0" w:after="0"/>
      </w:pPr>
    </w:p>
    <w:p>
      <w:r>
        <w:t xml:space="preserve">Prihodi od prodaje proizvoda i robe te pruženih usluga veći su za 43,3% u odnosu na prošlu godinu, jer smo sklopili ugovor za najam sportske dvorane  s Karate klub Pirovac i Sportski đir Pirovac i ostvarili prihod od 601,79 eura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740.116,72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856.956,11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115,8</w:t>
            </w:r>
          </w:p>
        </w:tc>
      </w:tr>
    </w:tbl>
    <w:p>
      <w:pPr>
        <w:spacing w:before="0" w:after="0"/>
      </w:pPr>
    </w:p>
    <w:p>
      <w:r>
        <w:t xml:space="preserve">Ukupni rashodi poslovanja iznose 856.956,11 EUR (šifra 3 i Z005) što je za 15,8% više u odnosu na isto razdoblje prethodne godine. Bilježimo porast rashoda koji su nastali zbog povećanih cijena materijalnih i ostalih rashoda poslovanja, te rashoda za zaposlene (plaće i ostalo).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510.914,83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602.467,53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117,9</w:t>
            </w:r>
          </w:p>
        </w:tc>
      </w:tr>
    </w:tbl>
    <w:p>
      <w:pPr>
        <w:spacing w:before="0" w:after="0"/>
      </w:pPr>
    </w:p>
    <w:p>
      <w:r>
        <w:t xml:space="preserve">Povećanje se odnosi na povećanje plaće zaposlenika.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21.153,95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23.174,40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109,6</w:t>
            </w:r>
          </w:p>
        </w:tc>
      </w:tr>
    </w:tbl>
    <w:p>
      <w:pPr>
        <w:spacing w:before="0" w:after="0"/>
      </w:pPr>
    </w:p>
    <w:p>
      <w:r>
        <w:t xml:space="preserve">Povećanje se odnosi na materijalna prava zaposlenika koja su ostvarena u 2025.godini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zaposlenima (šifre 3211 do 3214)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27.253,56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34.389,08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126,2</w:t>
            </w:r>
          </w:p>
        </w:tc>
      </w:tr>
    </w:tbl>
    <w:p>
      <w:pPr>
        <w:spacing w:before="0" w:after="0"/>
      </w:pPr>
    </w:p>
    <w:p>
      <w:r>
        <w:t xml:space="preserve">Povećanje se odnosi najvećim dijelom na naknade za prijevoz zaposlenika, službena putovanja i stručna usavršavanja (veći broj zaposlenika).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1.181,24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1.575,04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133,3</w:t>
            </w:r>
          </w:p>
        </w:tc>
      </w:tr>
    </w:tbl>
    <w:p>
      <w:pPr>
        <w:spacing w:before="0" w:after="0"/>
      </w:pPr>
    </w:p>
    <w:p>
      <w:r>
        <w:t xml:space="preserve">Bilježimo porast rashoda za Zdravstvene i veterinarske usluge od 33,3% zbog povećanja rashoda za  Ostale zdravstvene i veterinarske usluge, odnosno zbog povećanja broja zaposlenika koji su stekli uvjete za sistematski pregled.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1.338,94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4.296,42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320,9</w:t>
            </w:r>
          </w:p>
        </w:tc>
      </w:tr>
    </w:tbl>
    <w:p>
      <w:pPr>
        <w:spacing w:before="0" w:after="0"/>
      </w:pPr>
    </w:p>
    <w:p>
      <w:r>
        <w:t xml:space="preserve">Bilježimo povećanje rashoda za na kontu 3237 Intelektualne i osobne usluge zbog neplaniranog troška  Procjena postojećeg stanja i analiza rizika, Plan </w:t>
      </w:r>
      <w:r>
        <w:br/>
      </w:r>
      <w:r>
        <w:t xml:space="preserve">sigurnosti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691,20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3.368,05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487,3</w:t>
            </w:r>
          </w:p>
        </w:tc>
      </w:tr>
    </w:tbl>
    <w:p>
      <w:pPr>
        <w:spacing w:before="0" w:after="0"/>
      </w:pPr>
    </w:p>
    <w:p>
      <w:r>
        <w:t xml:space="preserve">Porast rashoda od 387,3 % na kontu 3239 nastao je zbog servisa plamenika, te dijela računalne opreme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6.610,78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1.940,48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29,4</w:t>
            </w:r>
          </w:p>
        </w:tc>
      </w:tr>
    </w:tbl>
    <w:p>
      <w:pPr>
        <w:spacing w:before="0" w:after="0"/>
      </w:pPr>
    </w:p>
    <w:p>
      <w:r>
        <w:t xml:space="preserve">Smanjenje je nastalo najvećim dijelom jer smo rebalansom premještali na rashode na kojima nisu bila dostatna sredstva zbog nepredviđenih rashoda.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50.019,16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Povećanje se odnosi na primljene pomoći iz inozemstva ili od subjekata unutar općeg proračuna koji nije nadležan. Donošenjem novog pravilnika o proračunskom računovodstvu evidentiraju se primljene pomoći od drugih proračuna, kao što je pomoć od Ministarstva za isplatu plaća za 13 trošak čije je dospijeće u 2026. godini, a rashod je nastao u prosincu 2025.godine.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23.426,05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7.606,43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32,5</w:t>
            </w:r>
          </w:p>
        </w:tc>
      </w:tr>
    </w:tbl>
    <w:p>
      <w:pPr>
        <w:spacing w:before="0" w:after="0"/>
      </w:pPr>
    </w:p>
    <w:p>
      <w:r>
        <w:t xml:space="preserve">U ovom izvještajnom razdoblju bilježimo manje rashoda za nabavu proizvedene dugotrajne imovine jer smo 7.606,43 eura utrošili za nabavu novih udženika (7.205,64 eura), lektira  (310,00 eura) i knjiga za knjižnicu (90,79 eura). U istom izvještajnom razdoblju prethodne godine imali smo 23.426,05 eura rashoda za nabavu nefinancijske proizvedene dugotrajne imovine jer smo osim udžbenika imali kapitalna ulaganja u nabavu oprema za grijanje, ventilaciju i hlađenje.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9221x, 9222x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- preneseni (šifre 92211+92212-92221-92222)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9221x,9222x VP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7.025,22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2.171,44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30,9</w:t>
            </w:r>
          </w:p>
        </w:tc>
      </w:tr>
    </w:tbl>
    <w:p>
      <w:pPr>
        <w:spacing w:before="0" w:after="0"/>
      </w:pPr>
    </w:p>
    <w:p>
      <w:r>
        <w:t xml:space="preserve">Prenešeni višak iz prethodnih godina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57.592,91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Manjak je nastao zbog knjiženja 13-og rashoda koji tereti 2025.godinu, a dospijevaju u 2026.godini. (plaće za prosinac i redovni računi)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budućih razdoblja i nedospjela naplata prihoda (aktivna vremenska razgraničenja)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53.388,93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Rashodi budućih razdoblja i nedospjela naplata prihoda (aktivna vremenska razgraničenja) promjenom pravilnika o proračunskom računovodstvu više se ne koriste.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iz državnog proračuna proračunskim korisnicima proračuna JLP(R)S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7.515,06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2424,2</w:t>
            </w:r>
          </w:p>
        </w:tc>
      </w:tr>
    </w:tbl>
    <w:p>
      <w:pPr>
        <w:spacing w:before="0" w:after="0"/>
      </w:pPr>
    </w:p>
    <w:p>
      <w:r>
        <w:t xml:space="preserve">Udžbenici i lektira koje sam ove godine knjižila na Kapitalne pomoći iz državnog proračuna proračunskim korisnicima proračuna JLP(R)S, a prošle godine na 63623 Kapitalne pomoći proračunskim korisnicima iz proračuna JLP(R)S koji im nije nadležan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3.917,77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53.737,98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1371,6</w:t>
            </w:r>
          </w:p>
        </w:tc>
      </w:tr>
    </w:tbl>
    <w:p>
      <w:pPr>
        <w:spacing w:before="0" w:after="0"/>
      </w:pPr>
    </w:p>
    <w:p>
      <w:r>
        <w:t xml:space="preserve">Od 1.1.2025. godine po novom pravilniku knjiže se potraživanja za prihode poslovanja na dan obračuna, osim konta 6711 i donacija.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budućih razdoblja i nedospjela naplata prihoda (aktivna vremenska razgraničenja) (šifre 191 do 193)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53.388,93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Zbog promjene zakona od 1.1.2025. godine ova konta se više ne koriste za vremenska razgraničenja, pa rezultati pokazuju razliku u odnosu na prošlu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 (šifre 231 do 234 + 235 + 236 + 237 do 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56.099,07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61.691,51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110,0</w:t>
            </w:r>
          </w:p>
        </w:tc>
      </w:tr>
    </w:tbl>
    <w:p>
      <w:pPr>
        <w:spacing w:before="0" w:after="0"/>
      </w:pPr>
    </w:p>
    <w:p>
      <w:r>
        <w:t xml:space="preserve">Nedospjele obveze koje se odnose na  2025.godinu, a prihod se naplaćuje u 2026.godini. (plaće za zaposlenike, obveze za materijalne rashode i bolovanja na tere HZZO-a)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(šifre 961 do 963 + 964 do 968)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50.019,16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Ova šifra je objašnjena u obrascu PRRAS.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aktiva (šifra 996)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5.945,62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5.945,62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Tuđa imovina dobivena na korištenje koja još uvijek nije prešla u vlasništvo škole. Vlasnik je Carnet i radi se o  računalnoj opremi.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pasiva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5.945,62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5.945,62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Tuđa imovina dobivena na korištenje koja još uvijek nije prešla u vlasništvo škole. Vlasnik je Carnet i radi se o  računalnoj opremi.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30.920,52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Ispravak vrijednosti osnovnih sredstava koje se odnose na građevinske objekte, postrojenja i opreme, knjige u vrijednosti 30.920,52 eura.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ovom izvještajnom razdoblju nije bilo nepodmirenih dospjelih obveza.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c497ad64b64f87" /></Relationships>
</file>