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0e4b8bb817f421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12702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PIROVAC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546.804,91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575.404,65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540.656,99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632.874,04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57.469,39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18.295,81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18.295,81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7.205,64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12.147,89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64.675,03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532,4</w:t>
            </w:r>
          </w:p>
        </w:tc>
      </w:tr>
    </w:tbl>
    <w:p>
      <w:pPr>
        <w:spacing w:before="0" w:after="0"/>
      </w:pPr>
    </w:p>
    <w:p>
      <w:pPr>
        <w:jc w:val="both"/>
        <w:pStyle w:val="Normal"/>
        <w:spacing w:line="240" w:lineRule="auto"/>
      </w:pPr>
      <w:r>
        <w:rPr>
          <w:sz w:val="24"/>
          <w:rFonts w:ascii="Times New Roman" w:hAnsi="Times New Roman"/>
        </w:rPr>
        <w:t>Manjak od 64.675,03 nastao je zbog obračunate i proknjižene plaće za 9.mjesec koja   nije isplaćena u iznosu od 58.388,44 eura, pa tako nastaje manjak za taj iznos i fakturiranih  udžbenika za koje su računi knjiženi, a nisu plaćeni u iznosu od 7.205,64 eura. Na namirnicama imam višak prihoda od 1.242,76, vlastiti prihodi od najma školske dvorane 277,88 eura, te višak iz prethodnih godina od 2.171,44 eura, što je rezultiralo rezultatom od 62.503,59 eura (referentna stranica).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540.656,99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632.874,04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pPr>
        <w:jc w:val="both"/>
        <w:pStyle w:val="Normal"/>
        <w:spacing w:line="240" w:lineRule="auto"/>
      </w:pPr>
      <w:r>
        <w:rPr>
          <w:sz w:val="24"/>
          <w:rFonts w:ascii="Times New Roman" w:hAnsi="Times New Roman"/>
        </w:rPr>
        <w:t>Kod svih rashoda za zaposlene došlo je do povećanja rashoda jer je došlo do porasta koeficijenata, a s porastom vrijednosti koeficijenata rasli su svi rashodi vezani za zaposlene.</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379.772,47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458.622,08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pPr>
        <w:jc w:val="both"/>
        <w:pStyle w:val="Normal"/>
        <w:spacing w:line="240" w:lineRule="auto"/>
      </w:pPr>
      <w:r>
        <w:rPr>
          <w:sz w:val="24"/>
          <w:rFonts w:ascii="Times New Roman" w:hAnsi="Times New Roman"/>
        </w:rPr>
        <w:t>Porast od 20,8 % nastao je zboh porasta vrijednosti koeficijenta, odnosno povećanjem plaće.</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w:t>
            </w:r>
          </w:p>
        </w:tc>
      </w:tr>
    </w:tbl>
    <w:p>
      <w:pPr>
        <w:spacing w:before="0" w:after="0"/>
      </w:pPr>
    </w:p>
    <w:p>
      <w:pPr>
        <w:jc w:val="both"/>
        <w:pStyle w:val="Normal"/>
        <w:spacing w:line="240" w:lineRule="auto"/>
      </w:pPr>
      <w:r>
        <w:rPr>
          <w:sz w:val="24"/>
          <w:rFonts w:ascii="Times New Roman" w:hAnsi="Times New Roman"/>
        </w:rPr>
        <w:t>Povećanje od 27,3 poslo došlo je zbog povećanja naknade po km i broja zaposlenih tijekom obračunskog razdoblja zbog zamjena (bolovanja), te dopunske nastave za strance.</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pPr>
        <w:jc w:val="both"/>
        <w:pStyle w:val="Normal"/>
        <w:spacing w:line="240" w:lineRule="auto"/>
      </w:pPr>
      <w:r>
        <w:rPr>
          <w:sz w:val="24"/>
          <w:rFonts w:ascii="Times New Roman" w:hAnsi="Times New Roman"/>
        </w:rPr>
        <w:t>Porast cijena stručnog usavršavanja utječe na porast rashoda za stručno usavršavanje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29.056,66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33.776,88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bl>
    <w:p>
      <w:pPr>
        <w:spacing w:before="0" w:after="0"/>
      </w:pPr>
    </w:p>
    <w:p>
      <w:pPr>
        <w:jc w:val="both"/>
        <w:pStyle w:val="Normal"/>
        <w:spacing w:line="240" w:lineRule="auto"/>
      </w:pPr>
      <w:r>
        <w:rPr>
          <w:sz w:val="24"/>
          <w:rFonts w:ascii="Times New Roman" w:hAnsi="Times New Roman"/>
        </w:rPr>
        <w:t>Porast cijena usluga utječe na povećanje svih rashoda usluga u usporedbi s istim obračunskim periodom u prošloj godini.</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w:t>
            </w:r>
          </w:p>
        </w:tc>
      </w:tr>
    </w:tbl>
    <w:p>
      <w:pPr>
        <w:spacing w:before="0" w:after="0"/>
      </w:pPr>
    </w:p>
    <w:p>
      <w:pPr>
        <w:jc w:val="both"/>
        <w:pStyle w:val="Normal"/>
        <w:spacing w:line="240" w:lineRule="auto"/>
      </w:pPr>
      <w:r>
        <w:rPr>
          <w:sz w:val="24"/>
          <w:rFonts w:ascii="Times New Roman" w:hAnsi="Times New Roman"/>
        </w:rPr>
        <w:t>Povećana je količina kupljenih udžbenika zbog dotrajalosti starih udžbenika.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a3832ddb7644ef0" /></Relationships>
</file>