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35ad1c7c4194e9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12702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PIROVAC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368.235,40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402.087,17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370.874,12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457.626,72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2.638,72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55.539,55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8.016,22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55.539,55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692,8</w:t>
            </w:r>
          </w:p>
        </w:tc>
      </w:tr>
    </w:tbl>
    <w:p>
      <w:pPr>
        <w:spacing w:before="0" w:after="0"/>
      </w:pPr>
    </w:p>
    <w:p>
      <w:pPr>
        <w:jc w:val="both"/>
        <w:pStyle w:val="Normal"/>
        <w:spacing w:line="240" w:lineRule="auto"/>
      </w:pPr>
      <w:r>
        <w:rPr>
          <w:sz w:val="24"/>
          <w:rFonts w:ascii="Times New Roman" w:hAnsi="Times New Roman"/>
        </w:rPr>
        <w:t>Osnovna škola Pirovac je u izvještajnom razdoblju od 01.01.2025 do 30.06.2025 ostvarila ukupne prihode  u iznosu od 402.087,17 EUR (šifra 6) što je za 9,2% više u odnosu na isto razdoblje prethodne godine. Ukupni rashodi poslovanja iznose 457.626,72 EUR (šifra 3 i Z005) što je za 23,4% više u odnosu na isto razdoblje prethodne godine. Bilježimo porast prihoda, ali i rashoda koji su nastali zbog povećanih cijena materijalnih i ostalih rashoda poslovanja, te zbog rashoda koji su nastali u ovom izvještajnom razdoblju u odnosu na prošlu godinu kad su nstali kasnije (npr. zdravstvene i veterinarske usluge, intelektualne i osobne usluge, stručno savršavanje zaposlenika i službeni put). Osnovna škola Pirovac je ostvarila manjak prihoda i primitaka (šifra Y005) u iznosu od 55,539,55 EUR . Manjak se odnosi na materijalne troškove zaposlenih i škole koji dospijevaju u srpnju 2025. godine. Višak prihoda od 2.171,44 EUR  (šifra 92211) a odnosi se na sredstva iz prethodnih godina, većim dijelom vlastita sredstva od najma aparata za napitke, te učione za sastanak društva Naša djeca Jastrebarsko.</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325.867,13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353.776,80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pPr>
        <w:jc w:val="both"/>
        <w:pStyle w:val="Normal"/>
        <w:spacing w:line="240" w:lineRule="auto"/>
      </w:pPr>
      <w:r>
        <w:rPr>
          <w:sz w:val="24"/>
          <w:rFonts w:ascii="Times New Roman" w:hAnsi="Times New Roman"/>
        </w:rPr>
        <w:t>Povećanje prihoda od 8,6% odnosi se na povećanje izdataka za plaće djelatnika zbog povećanja plaća.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Ostvareni prihod odnosi se na najam sportske dvorane Karate klubu Pirovac i Sportskom điru Pirovac. Odstupanje od 69,92% je zato što  u istom izvještajnom razdoblju prošle godine nismo imali prihoda od pruženih usluga.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370.874,12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457.626,72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bl>
    <w:p>
      <w:pPr>
        <w:spacing w:before="0" w:after="0"/>
      </w:pPr>
    </w:p>
    <w:p>
      <w:pPr>
        <w:jc w:val="both"/>
        <w:pStyle w:val="Normal"/>
        <w:spacing w:line="240" w:lineRule="auto"/>
      </w:pPr>
      <w:r>
        <w:rPr>
          <w:sz w:val="24"/>
          <w:rFonts w:ascii="Times New Roman" w:hAnsi="Times New Roman"/>
        </w:rPr>
        <w:t>Povećanje  rashoda koji su nastali zbog povećanih cijena materijalnih i ostalih rashoda poslovanja, te zbog rashoda koji su nastali u ovom izvještajnom razdoblju u odnosu na prošlu godinu. Prošle godine su nastali   kasnije, odnosno u drugom dijelu godine (npr. zdravstvene i veterinarske usluge, intelektualne i osobne usluge, stručno savršavanje zaposlenika i službeni put).</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303.863,79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384.966,63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pPr>
        <w:jc w:val="both"/>
        <w:pStyle w:val="Normal"/>
        <w:spacing w:line="240" w:lineRule="auto"/>
      </w:pPr>
      <w:r>
        <w:rPr>
          <w:sz w:val="24"/>
          <w:rFonts w:ascii="Times New Roman" w:hAnsi="Times New Roman"/>
        </w:rPr>
        <w:t>Povećanje rashoda zbog povećanja plaća porastom vrijednosti koeficijenata za izračun plaća.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(šifra V007) iznosi 0.00 EUR,  OŠ Pirovac nema iskazanih dospjelih obveza. Sve obveze koje su iskazane su nedospjele, odnose se na obveze za materijalne rashode, obveze za financijske rashode, ostale tekuće obveze i obveze za zaposlene koje dospijevaju 10.07.2025.</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d1eaef2fcfc406e" /></Relationships>
</file>