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562D" w14:textId="77777777" w:rsidR="00B81D7B" w:rsidRPr="00704DBB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hr-HR"/>
        </w:rPr>
      </w:pPr>
      <w:r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 xml:space="preserve">ELEMENTI 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 xml:space="preserve"> VREDNOVANJA UČENIKA</w:t>
      </w:r>
      <w:r w:rsidR="00B81D7B" w:rsidRPr="00704DBB">
        <w:rPr>
          <w:rFonts w:ascii="Book Antiqua" w:eastAsia="Times New Roman" w:hAnsi="Book Antiqua" w:cs="Times New Roman"/>
          <w:sz w:val="32"/>
          <w:szCs w:val="32"/>
          <w:lang w:val="en-US" w:eastAsia="hr-HR"/>
        </w:rPr>
        <w:t> </w:t>
      </w:r>
    </w:p>
    <w:p w14:paraId="38B5584B" w14:textId="0F2A26B6" w:rsidR="00DF609A" w:rsidRPr="00B81D7B" w:rsidRDefault="00B81D7B" w:rsidP="007C10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</w:t>
      </w:r>
      <w:r w:rsidR="007C1024">
        <w:rPr>
          <w:rFonts w:ascii="Book Antiqua" w:eastAsia="Times New Roman" w:hAnsi="Book Antiqua" w:cs="Times New Roman"/>
          <w:sz w:val="24"/>
          <w:szCs w:val="24"/>
          <w:lang w:eastAsia="hr-HR"/>
        </w:rPr>
        <w:t>k</w:t>
      </w:r>
    </w:p>
    <w:p w14:paraId="2009087E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5979C0C" w14:textId="77777777" w:rsidR="00B81D7B" w:rsidRPr="007C1024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744A3CC4" w14:textId="77777777" w:rsidR="00B81D7B" w:rsidRPr="007C1024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5F0A252F" w14:textId="77777777" w:rsidR="00B81D7B" w:rsidRPr="007C1024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23417130" w14:textId="77777777" w:rsidR="00B81D7B" w:rsidRPr="007C1024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7C1024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7C1024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7C1024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7C1024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7C1024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7C1024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20A0149B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384353CD" w14:textId="77777777" w:rsidR="00B81D7B" w:rsidRPr="007C1024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09F2C2FB" w14:textId="77777777" w:rsidR="00B81D7B" w:rsidRPr="007C1024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412ED30D" w14:textId="77777777" w:rsidR="00B81D7B" w:rsidRPr="007C1024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3C637895" w14:textId="77777777" w:rsidR="00B81D7B" w:rsidRPr="007C1024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4F15C452" w14:textId="77777777" w:rsidR="00B81D7B" w:rsidRPr="007C1024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7C1024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11194F9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130FFB00" w14:textId="77777777" w:rsidR="00B81D7B" w:rsidRPr="007C1024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7C1024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671CF4FB" w14:textId="77777777" w:rsidR="00B81D7B" w:rsidRPr="007C1024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5CEF340C" w14:textId="77777777" w:rsidR="00B81D7B" w:rsidRPr="007C1024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5FAC9BA8" w14:textId="77777777" w:rsidR="00B81D7B" w:rsidRPr="007C1024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7BDC5A10" w14:textId="77777777" w:rsidR="00B81D7B" w:rsidRPr="007C1024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4F781671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4D01C5F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58156C0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7C1024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7C1024">
        <w:rPr>
          <w:rFonts w:ascii="Book Antiqua" w:eastAsia="Times New Roman" w:hAnsi="Book Antiqua" w:cs="Times New Roman"/>
          <w:lang w:eastAsia="hr-HR"/>
        </w:rPr>
        <w:t>. 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48DF1334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30F07B9F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7C1024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14C3526A" w14:textId="77777777" w:rsidR="00F57E49" w:rsidRPr="007C1024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243D6335" w14:textId="77777777" w:rsidR="00B81D7B" w:rsidRPr="007C1024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7C1024">
        <w:rPr>
          <w:rFonts w:ascii="Book Antiqua" w:eastAsia="Times New Roman" w:hAnsi="Book Antiqua" w:cs="Times New Roman"/>
          <w:lang w:eastAsia="hr-HR"/>
        </w:rPr>
        <w:t>može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7C1024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7C1024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7C1024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213B2A8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28B9BF0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78E2743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 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22923C4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i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>. 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5F201E6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6E3C2E3C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15C6B08E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026FFBB3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7C1024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D17B9C7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323EC02B" w14:textId="77777777" w:rsidR="00B81D7B" w:rsidRPr="007C1024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U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</w:t>
      </w:r>
      <w:r w:rsidRPr="007C1024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7C1024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7C1024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2C5EF6EE" w14:textId="77777777" w:rsidR="00B81D7B" w:rsidRPr="007C1024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7C1024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5233E2F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2B97547B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7C1024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6790CD58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7C1024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3922A0EE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7C1024">
        <w:rPr>
          <w:rFonts w:ascii="Book Antiqua" w:eastAsia="Times New Roman" w:hAnsi="Book Antiqua" w:cs="Times New Roman"/>
          <w:lang w:eastAsia="hr-HR"/>
        </w:rPr>
        <w:t>.</w:t>
      </w:r>
      <w:r w:rsidRPr="007C1024">
        <w:rPr>
          <w:rFonts w:ascii="Book Antiqua" w:eastAsia="Times New Roman" w:hAnsi="Book Antiqua" w:cs="Times New Roman"/>
          <w:lang w:eastAsia="hr-HR"/>
        </w:rPr>
        <w:t>  </w:t>
      </w:r>
    </w:p>
    <w:p w14:paraId="00849CE3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7C1024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7A835C72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7C1024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1C7E7329" w14:textId="77777777" w:rsidR="00B81D7B" w:rsidRPr="007C1024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7C1024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7C1024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A14A092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4460CF1D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7C1024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7C1024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50F66FB7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7C1024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7C1024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192893B4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>)… </w:t>
      </w:r>
    </w:p>
    <w:p w14:paraId="44B71A2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3F737275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7C1024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4AFACAFE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124A5FF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4A5083EF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0DE255AC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EFD65E6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1A3B0E2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669AFA0F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7C1024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7C1024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7C1024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277F002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7C1024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7C1024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2E3F5F69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503BFB16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281C60D2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b/>
          <w:bCs/>
          <w:lang w:eastAsia="hr-HR"/>
        </w:rPr>
        <w:t>Pisanje </w:t>
      </w:r>
      <w:r w:rsidRPr="007C1024">
        <w:rPr>
          <w:rFonts w:ascii="Book Antiqua" w:eastAsia="Times New Roman" w:hAnsi="Book Antiqua" w:cs="Times New Roman"/>
          <w:lang w:eastAsia="hr-HR"/>
        </w:rPr>
        <w:t> </w:t>
      </w:r>
    </w:p>
    <w:p w14:paraId="63BB2C5B" w14:textId="77777777" w:rsidR="00B81D7B" w:rsidRPr="007C1024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7C1024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7C1024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7C1024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7C1024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1EA1979F" w14:textId="691DF3A2" w:rsidR="00B81D7B" w:rsidRPr="007C1024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7C1024">
        <w:rPr>
          <w:rFonts w:ascii="Book Antiqua" w:eastAsia="Times New Roman" w:hAnsi="Book Antiqua" w:cs="Times New Roman"/>
          <w:lang w:eastAsia="hr-HR"/>
        </w:rPr>
        <w:t xml:space="preserve">e </w:t>
      </w:r>
      <w:r w:rsidRPr="007C1024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7C1024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7C1024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6E2BED81" w14:textId="77777777" w:rsidR="007C1024" w:rsidRPr="007C1024" w:rsidRDefault="007C1024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8426C34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odličan – 91-100%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673DDEA1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vrlo dobar – 78-90%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4B92BB3A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dobar -  62-77%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572579C2" w14:textId="77777777" w:rsidR="00B81D7B" w:rsidRPr="007C1024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7C1024">
        <w:rPr>
          <w:rFonts w:ascii="Book Antiqua" w:eastAsia="Times New Roman" w:hAnsi="Book Antiqua" w:cs="Times New Roman"/>
          <w:lang w:eastAsia="hr-HR"/>
        </w:rPr>
        <w:t>0</w:t>
      </w:r>
      <w:r w:rsidRPr="007C1024">
        <w:rPr>
          <w:rFonts w:ascii="Book Antiqua" w:eastAsia="Times New Roman" w:hAnsi="Book Antiqua" w:cs="Times New Roman"/>
          <w:lang w:eastAsia="hr-HR"/>
        </w:rPr>
        <w:t>-61%</w:t>
      </w:r>
      <w:r w:rsidRPr="007C1024">
        <w:rPr>
          <w:rFonts w:ascii="Book Antiqua" w:eastAsia="Times New Roman" w:hAnsi="Book Antiqua" w:cs="Times New Roman"/>
          <w:lang w:val="it-IT" w:eastAsia="hr-HR"/>
        </w:rPr>
        <w:t> </w:t>
      </w:r>
    </w:p>
    <w:p w14:paraId="53BCF193" w14:textId="77777777" w:rsidR="00B81D7B" w:rsidRPr="007C1024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7C1024">
        <w:rPr>
          <w:rFonts w:ascii="Book Antiqua" w:eastAsia="Times New Roman" w:hAnsi="Book Antiqua" w:cs="Times New Roman"/>
          <w:lang w:eastAsia="hr-HR"/>
        </w:rPr>
        <w:t>nedovoljan - manje od 50%</w:t>
      </w:r>
      <w:r w:rsidRPr="007C1024">
        <w:rPr>
          <w:rFonts w:ascii="Book Antiqua" w:eastAsia="Times New Roman" w:hAnsi="Book Antiqua" w:cs="Times New Roman"/>
          <w:lang w:val="en-US" w:eastAsia="hr-HR"/>
        </w:rPr>
        <w:t> </w:t>
      </w:r>
    </w:p>
    <w:p w14:paraId="128C7609" w14:textId="77777777" w:rsidR="00197EB7" w:rsidRPr="007C1024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</w:p>
    <w:p w14:paraId="674E613C" w14:textId="77777777" w:rsidR="00687930" w:rsidRPr="007C1024" w:rsidRDefault="00687930" w:rsidP="00687930">
      <w:pPr>
        <w:rPr>
          <w:b/>
        </w:rPr>
      </w:pPr>
      <w:r w:rsidRPr="007C1024">
        <w:rPr>
          <w:b/>
        </w:rPr>
        <w:lastRenderedPageBreak/>
        <w:t>8.razred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57"/>
        <w:gridCol w:w="3518"/>
        <w:gridCol w:w="3255"/>
        <w:gridCol w:w="3899"/>
        <w:gridCol w:w="3353"/>
      </w:tblGrid>
      <w:tr w:rsidR="00687930" w:rsidRPr="007C1024" w14:paraId="798C1AA1" w14:textId="77777777" w:rsidTr="00687930">
        <w:trPr>
          <w:trHeight w:val="51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44F538E7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0E94C44C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 xml:space="preserve">Slušanje </w:t>
            </w:r>
          </w:p>
          <w:p w14:paraId="7C3B4AEF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>s razumijevanjem</w:t>
            </w: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09B69CED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 xml:space="preserve">Čitanje </w:t>
            </w:r>
          </w:p>
          <w:p w14:paraId="3DAEEB5E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>s razumijevanjem</w:t>
            </w: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 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7A88429F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>Govorenje</w:t>
            </w: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 </w:t>
            </w:r>
          </w:p>
        </w:tc>
        <w:tc>
          <w:tcPr>
            <w:tcW w:w="33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0099"/>
          </w:tcPr>
          <w:p w14:paraId="5870C6EB" w14:textId="77777777" w:rsidR="00687930" w:rsidRPr="007C1024" w:rsidRDefault="00687930" w:rsidP="0055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b/>
                <w:bCs/>
                <w:color w:val="FFFFFF" w:themeColor="background1"/>
                <w:lang w:eastAsia="hr-HR"/>
              </w:rPr>
              <w:t>Pisanje</w:t>
            </w: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 </w:t>
            </w:r>
          </w:p>
        </w:tc>
      </w:tr>
      <w:tr w:rsidR="00687930" w:rsidRPr="007C1024" w14:paraId="17025F65" w14:textId="77777777" w:rsidTr="00687930">
        <w:trPr>
          <w:trHeight w:val="1304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0EE69CF6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odličan</w:t>
            </w:r>
            <w:r w:rsidRPr="007C1024"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203041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 svim aktivnostima pokazuje razumijevanje glavne poruke jednostavnoga teksta poznate tematike i srednje dužine (500-600 riječi). Samostalno izdvaja glavnu poruku teksta, uočava ključne i specifične informacije i povezuje ih s primjerima. Odgovara na pitanja, ispravlja netočne tvrdnje, točno nadopunjuje riječi koje nedostaju u tekstu i sl. U radu je samostalan te uočava eventualne, rijetke pogreške koje potom ispravlja. Uspješno primjenjuje strategije za poboljšanje razumijevanja pri slušanju.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811DE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 svim aktivnostima pokazuje razumijevanje jednostavnoga teksta poznate tematike i srednje dužine (500-600 riječi). Samostalno izdvaja glavnu poruku teksta i ključne i specifične informacije. Samostalno primjenjuje sva odgovarajuća intonacijska obilježja. Samostalno dolazi do značenja novih riječi i fraza logičkim zaključivanjem. Uspješno primjenjuje strategije za poboljšanje razumijevanja pri čitanju.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024CD6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samostalno planira i priprema srednje dug tekst. Povezuje elemente teksta,  prenosi glavnu poruku i ključne informacije koristeći se učestalim jezičnim strukturama niže razine složenosti. Samostalno ispravlja svoj govor. U potpunosti točno primjenjuje naglasak i intonaciju radi izražavanja vlastitog stava i značenja poruke i informacije koju prenosi. Učenik samostalno planira, započinje i razvija komunikaciju u dužem planiranom i dužem jednostavnom neplaniranom razgovoru poznate tematike. </w:t>
            </w:r>
            <w:r w:rsidRPr="007C1024"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  <w:t>U potpunosti je usvojio obrađeni vokabular i jezične strukture, pa tečno, točno i spontano govori. Točno i potpunim odgovorima odgovara na postavljena pitanja.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t> </w:t>
            </w:r>
          </w:p>
        </w:tc>
        <w:tc>
          <w:tcPr>
            <w:tcW w:w="3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A89C1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samostalno zapisuje izgovoreni jednostavan tekst poznate tematike i odvaja dijelove rečenica i rečenice osnovnim pravopisnim znakovima.  </w:t>
            </w:r>
          </w:p>
          <w:p w14:paraId="60938D0C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samostalno piše strukturiran tekst srednje dužine (80 – 100 riječi) i poznate tematike na temelju predloška, uspješno se koristi primjerenim veznim sredstvima, koristi širok raspon obrađenog vokabulara, primjenjuje osnovna pravopisna pravila i kreativno se izražava. Pravilno i većinom točno koristi sve jezične strukture niže razine složenosti. Razlikuje pravopisna pravila u engleskom i hrvatskom jeziku.</w:t>
            </w:r>
          </w:p>
          <w:p w14:paraId="179700B2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Samostalno ispravlja svoj tekst i tekst vršnjaka.</w:t>
            </w:r>
          </w:p>
        </w:tc>
      </w:tr>
      <w:tr w:rsidR="00687930" w:rsidRPr="007C1024" w14:paraId="6A2760BA" w14:textId="77777777" w:rsidTr="00687930">
        <w:trPr>
          <w:trHeight w:val="15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5112580B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vrlo dobar 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C87A3C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povremenu pomoć u većini aktivnosti pokazuje razumijevanje jednostavnoga teksta srednje dužine i poznate tematike. Navodi ključne i većinu specifičnih informacija, te glavnu poruku teksta. Uglavnom samostalno, uz manje poteškoće,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odgovara na pitanja, točno ispravlja većinu netočnih tvrdnji, te točno nadopunjuje većinu riječi koje nedostaju u tekstu. Greške uočava uz povremenu pomoć učitelja te ih samostalno ispravlja. Većinom uspješno primjenjuje strategije za poboljšanje razumijevanja pri slušanju.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061A46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 xml:space="preserve">Učenik uz povremenu pomoć u većini aktivnosti pokazuje razumijevanje jednostavnoga teksta poznate tematike i srednje dužine. Učenik uz povremenu pomoć primjenjuje odgovarajuća intonacijska obilježja. Razumije glavnu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poruku teksta i izdvaja ključne i specifične informacije, što je vidljivo u popratnim zadacima koje rješava uz pokoju pogrešku. Eventualne greške brzo ispravlja. Većinom uspješno primjenjuje strategije za poboljšanje razumijevanja pri čitanju.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2ADE67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lastRenderedPageBreak/>
              <w:t xml:space="preserve">Učenik uz povremenu pomoć učitelja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planira i priprema srednje dug tekst, povezuje elemente teksta,  prenosi glavnu poruku i ključne informacije koristeći se učestalim jezičnim strukturama niže razine složenosti. </w:t>
            </w:r>
          </w:p>
          <w:p w14:paraId="11A2C95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lastRenderedPageBreak/>
              <w:t xml:space="preserve">U govorenju ponekad griješi, no uglavnom samostalno ispravlja svoj govor. </w:t>
            </w:r>
          </w:p>
          <w:p w14:paraId="2D130A17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Uz povremenu pomoć primjenjuje naglasak i intonaciju radi izražavanja vlastitog stava i značenja poruke i informacije koju prenosi.</w:t>
            </w:r>
          </w:p>
          <w:p w14:paraId="4E76D505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uz povremenu pomoć sudjeluje u dužem planiranom i dužem jednostavnom neplaniranom razgovoru poznate tematike.</w:t>
            </w:r>
          </w:p>
          <w:p w14:paraId="3FD6F14A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t>Obrađeni vokabular i jezične strukture niže razine složenosti je uglavnom usvojio te ih koristi u govoru.</w:t>
            </w:r>
          </w:p>
        </w:tc>
        <w:tc>
          <w:tcPr>
            <w:tcW w:w="3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380DF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 xml:space="preserve">Učenik uz povremenu pomoć zapisuje izgovoreni jednostavan tekst poznate tematike i odvaja dijelove rečenica i rečenice osnovnim pravopisnim znakovima.  </w:t>
            </w:r>
          </w:p>
          <w:p w14:paraId="1FA3AE73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povremenu pomoć piše strukturiran tekst srednje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dužine (80 – 100 riječi) poznate tematike na temelju predloška, koristi se primjerenim veznim sredstvima, koristi velik broj novih riječi i izraza i primjenjuje osnovna pravopisna pravila. Razlikuje pravopisna pravila u engleskom i hrvatskom jeziku. U pisanju se koristi obrađenim jezičnim strukturama uz povremene greške.</w:t>
            </w:r>
          </w:p>
          <w:p w14:paraId="6568378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Uz povremenu pomoć ispravlja svoj tekst.</w:t>
            </w:r>
          </w:p>
        </w:tc>
      </w:tr>
      <w:tr w:rsidR="00687930" w:rsidRPr="007C1024" w14:paraId="09001C47" w14:textId="77777777" w:rsidTr="00687930">
        <w:trPr>
          <w:trHeight w:val="435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03B6B73C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lastRenderedPageBreak/>
              <w:t>dobar  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A02F5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čestu pomoć u većini manje zahtjevnih  aktivnosti pokazuje razumijevanje jednostavnoga teksta srednje dužine i poznate tematike. Prepoznaje neke ključne i specifične informacije. Glavnu poruku teksta razumije djelomično. Uz povremenu pomoć učitelja odgovara uglavnom  točno na postavljena pitanja, točno ispravlja dio netočnih tvrdnji, te točno nadopunjuje dio riječi koje nedostaju u tekstu. Potrebna mu je povremena pomoć i potpora u radu. Djelomično uspješno primjenjuje strategije za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poboljšanje razumijevanja pri slušanju.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4525CE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Učenik uz čestu pomoć u većini aktivnosti pokazuje razumijevanje jednostavnoga teksta poznate tematike i srednje dužine. Učenik uz čestu pomoć primjenjuje odgovarajuća intonacijska obilježja. Glavnu poruku teksta razumije samo djelomično. Izdvaja samo neke ključne i specifične informacije uz čestu pomoć.</w:t>
            </w:r>
          </w:p>
          <w:p w14:paraId="0EC7F35B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Greške sam teško ispravlja. Djelomično uspješno primjenjuje strategije za poboljšanje razumijevanja pri čitanju.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CFA14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t xml:space="preserve">Učenik uz čestu pomoć učitelja priprema i govori većinu teksta srednje dužine, povezuje elemente teksta, prenosi glavnu poruku i ključne informacije teksta. Djelomično točno i uz čestu pomoć koristi odgovarajuće učestale jezične strukture niže razine složenosti. Obrađeni vokabular je uglavnom usvojio te ga koristi u govoru. </w:t>
            </w:r>
          </w:p>
          <w:p w14:paraId="636B32FA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t xml:space="preserve">Uz čestu pomoć planira, priprema i sudjeluje u planiranom i neplaniranom razgovoru poznate tematike. </w:t>
            </w:r>
          </w:p>
          <w:p w14:paraId="228F8946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  <w:r w:rsidRPr="007C1024">
              <w:rPr>
                <w:rFonts w:ascii="Book Antiqua" w:eastAsia="Book Antiqua" w:hAnsi="Book Antiqua" w:cs="Book Antiqua"/>
              </w:rPr>
              <w:t xml:space="preserve">Uz čestu pomoć primjenjuje naglasak i intonaciju u poznatim i jednostavnim porukama i situacijama radi izražavanja vlastitog stava i značenja informacije. </w:t>
            </w:r>
          </w:p>
          <w:p w14:paraId="7791FDD8" w14:textId="77777777" w:rsidR="00687930" w:rsidRPr="007C1024" w:rsidRDefault="00687930" w:rsidP="00550308">
            <w:pPr>
              <w:spacing w:after="0" w:line="240" w:lineRule="auto"/>
            </w:pPr>
            <w:r w:rsidRPr="007C1024">
              <w:rPr>
                <w:rFonts w:ascii="Book Antiqua" w:eastAsia="Book Antiqua" w:hAnsi="Book Antiqua" w:cs="Book Antiqua"/>
              </w:rPr>
              <w:lastRenderedPageBreak/>
              <w:t xml:space="preserve">U govorenju dosta griješi, no uz čestu pomoć ispravlja svoj govor. </w:t>
            </w:r>
          </w:p>
        </w:tc>
        <w:tc>
          <w:tcPr>
            <w:tcW w:w="3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493F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 xml:space="preserve">Učenik uz čestu pomoć zapisuje izgovoreni jednostavan tekst poznate tematike i odvaja dijelove rečenica i rečenice osnovnim pravopisnim znakovima.  </w:t>
            </w:r>
          </w:p>
          <w:p w14:paraId="233AC071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uz čestu pomoć piše srednje dug strukturiran tekst (80 – 100 riječi) poznate tematike na temelju predloška, uz pomoć se koristi veznim sredstvima, koristi manji broj novih riječi i izraza i djelomično točno primjenjuje osnovna pravopisna pravila. U pisanju koristi više obrađenih jezičnim struktura uz česte greške.</w:t>
            </w:r>
          </w:p>
          <w:p w14:paraId="461AB0DE" w14:textId="0D9D0A2C" w:rsidR="00687930" w:rsidRPr="00687930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Uz čestu pomoć ispravlja svoj tekst.</w:t>
            </w:r>
          </w:p>
        </w:tc>
      </w:tr>
      <w:tr w:rsidR="00687930" w:rsidRPr="007C1024" w14:paraId="3D89DC3D" w14:textId="77777777" w:rsidTr="00687930">
        <w:trPr>
          <w:trHeight w:val="3793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64498B49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dovoljan 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7151E6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uz stalnu pomoć u manje zahtjevnim aktivnostima pokazuje razumijevanje glavne poruke jednostavnoga teksta srednje dužine i poznate tematike. Uz stalnu pomoć i pojednostavljenja prepoznaje samo neke ključne i specifične informacije. Uz pomoć nastavnika odgovara djelomično točno na postavljena pitanja, koristeći uglavnom kratke odgovore. Ispravak netočnih tvrdnji i nadopunjavanje teksta teče otežano i uz nastavnikovu pomoć. Potrebna mu je stalna pomoć i potpora u radu. Ne primjenjuje strategije za poboljšanje razumijevanja pri slušanju.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5FD15A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 Učenik uz stalnu pomoć u manje zahtjevnim aktivnostima pokazuje razumijevanje jednostavnoga teksta srednje dužine i poznate tematike.</w:t>
            </w:r>
          </w:p>
          <w:p w14:paraId="08EF39A6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 Učenik uz stalnu pomoć primjenjuje određena odgovarajuća intonacijska obilježja. </w:t>
            </w:r>
            <w:r w:rsidRPr="007C1024"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  <w:t>Glavnu poruku teksta razumije isključivo uz objašnjenja i pojednostavljenja. Većinu ključnih i specifičnih informacija prepoznaje vrlo teško, čak i uz pomoć.</w:t>
            </w:r>
          </w:p>
          <w:p w14:paraId="5C834183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  <w:t>Greške ispravlja isključivo uz pomoć učitelja.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 Ne primjenjuje strategije za poboljšanje razumijevanja pri slušanju.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751EE0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uz stalnu pomoć učitelja govori tek dijelove teksta koje ne povezuje u smislenu cjelinu. Glavnu poruku i ključne informacije teksta teško prenosi radi slabog poznavanja i  usvojenosti jednostavnih jezičnih struktura i obrađenog vokabulara. Uz stalnu pomoć sudjeluje u jednostavnom planiranom razgovoru, no nudi samo vrlo kratke odgovore i oslanja se na poticaj učitelja.</w:t>
            </w:r>
            <w:r w:rsidRPr="007C1024"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  <w:t xml:space="preserve"> Ne može samostalno sastavljati rečenice, može pravilno ponoviti po modelu. Ima nepravilan naglasak i intonaciju pa teško izražava vlastiti stav i  smisao informacije. U učestalim, poznatim i naučenim porukama  i situacijama koristi se naglaskom i intonacijom uz stalnu pomoć.</w:t>
            </w:r>
          </w:p>
        </w:tc>
        <w:tc>
          <w:tcPr>
            <w:tcW w:w="3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E3A83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stalnu pomoć zapisuje izgovoreni jednostavan tekst poznate tematike, a pri odvajanju dijelova rečenice osnovnim pravopisnim znakovima puno griješi. </w:t>
            </w:r>
          </w:p>
          <w:p w14:paraId="528783D6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Učenik uz stalnu pomoć piše srednje dug strukturiran tekst (80 – 100 riječi)  poznate tematike na temelju predloška, uz stalnu pomoć koristi vezna sredstva, koristi vrlo mali broj novih riječi i izraza i primjenjuje osnovna pravopisna pravila. Jezične strukture primjenjuje na osnovu predloška te često griješi.</w:t>
            </w:r>
          </w:p>
          <w:p w14:paraId="33D99730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Uz stalnu pomoć ispravlja svoj tekst.</w:t>
            </w:r>
          </w:p>
        </w:tc>
      </w:tr>
      <w:tr w:rsidR="00687930" w:rsidRPr="007C1024" w14:paraId="098748DA" w14:textId="77777777" w:rsidTr="00687930">
        <w:trPr>
          <w:trHeight w:val="465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C0099"/>
          </w:tcPr>
          <w:p w14:paraId="6CD2D4CB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color w:val="FFFFFF" w:themeColor="background1"/>
                <w:lang w:eastAsia="hr-HR"/>
              </w:rPr>
              <w:t>nedovoljan 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3A5845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stalnu pomoć u manje zahtjevnim aktivnostima ne pokazuje razumijevanje jednostavnoga teksta srednje dužine i poznate tematike. </w:t>
            </w:r>
          </w:p>
          <w:p w14:paraId="2C5937E5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Ne odgovara na pitanja koja zahtijevaju kratki odgovor niti uz stalnu pomoć nastavnika. Ne može nadopuniti tekst niti uz nastavnikovu pomoć. 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C2042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Učenik uz stalnu pomoć u manje zahtjevnim aktivnostima ne pokazuje razumijevanje jednostavnoga teksta srednje dužine i poznate tematike. </w:t>
            </w:r>
            <w:r w:rsidRPr="007C1024">
              <w:rPr>
                <w:rFonts w:ascii="Book Antiqua" w:eastAsia="Times New Roman" w:hAnsi="Book Antiqua" w:cs="Times New Roman"/>
                <w:color w:val="000000" w:themeColor="text1"/>
                <w:lang w:eastAsia="hr-HR"/>
              </w:rPr>
              <w:t>Ne razumije glavnu poruku i ključne informacije dijelova teksta niti uz objašnjenja i pojednostavljenja. 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Popratne zadatke većinom ili u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potpunosti ne rješava čak niti uz stalnu pomoć učitelja.</w:t>
            </w: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268D0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Učenik uz stalnu pomoć ne povezuje elemente teksta te ne može reproducirati srednje dug tekst poznate tematike na temelju predloška.  Većinu vokabulara nije usvojio, a na pitanja ne odgovara niti uz stalnu pomoć učitelja. Jezične strukture ne poznaje niti ih koristi u govoru čak niti uz stalnu pomoć i na poticaj učitelja.</w:t>
            </w:r>
          </w:p>
          <w:p w14:paraId="74FD5AB9" w14:textId="77777777" w:rsidR="00687930" w:rsidRPr="007C1024" w:rsidRDefault="00687930" w:rsidP="0055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 xml:space="preserve">Ne može sudjelovati u planiranom i jednostavnom neplaniranom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razgovoru poznate tematike, čak niti uz pomoć učitelja.</w:t>
            </w:r>
          </w:p>
        </w:tc>
        <w:tc>
          <w:tcPr>
            <w:tcW w:w="3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E5DD9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 xml:space="preserve">Učenik uz stalnu pomoć ne može zapisati izgovoreni jednostavan tekst. Ne razlikuje pravopisna pravila u engleskom i hrvatskom jeziku, ne koristi slova kojih nema u hrvatskom jeziku niti pravopisne znakove kod odvajanja dijelova rečenice. Ne može oblikovati pisani tekst srednje dužine poznate tematike na temelju predloška </w:t>
            </w:r>
            <w:r w:rsidRPr="007C1024">
              <w:rPr>
                <w:rFonts w:ascii="Book Antiqua" w:eastAsia="Times New Roman" w:hAnsi="Book Antiqua" w:cs="Times New Roman"/>
                <w:lang w:eastAsia="hr-HR"/>
              </w:rPr>
              <w:lastRenderedPageBreak/>
              <w:t>čak ni uz stalnu pomoć učitelja. Osnovna pravopisna pravila uglavnom ne primjenjuje.  Jezične strukture uglavnom ne poznaje niti ih može primijeniti u pisanju.</w:t>
            </w:r>
          </w:p>
          <w:p w14:paraId="0EB32461" w14:textId="77777777" w:rsidR="00687930" w:rsidRPr="007C1024" w:rsidRDefault="00687930" w:rsidP="00550308">
            <w:pPr>
              <w:spacing w:after="0" w:line="240" w:lineRule="auto"/>
              <w:rPr>
                <w:rFonts w:ascii="Book Antiqua" w:eastAsia="Times New Roman" w:hAnsi="Book Antiqua" w:cs="Times New Roman"/>
                <w:lang w:eastAsia="hr-HR"/>
              </w:rPr>
            </w:pPr>
            <w:r w:rsidRPr="007C1024">
              <w:rPr>
                <w:rFonts w:ascii="Book Antiqua" w:eastAsia="Times New Roman" w:hAnsi="Book Antiqua" w:cs="Times New Roman"/>
                <w:lang w:eastAsia="hr-HR"/>
              </w:rPr>
              <w:t>Ne može ispraviti svoj tekst niti uz stalnu pomoć.</w:t>
            </w:r>
          </w:p>
        </w:tc>
      </w:tr>
    </w:tbl>
    <w:p w14:paraId="7D346240" w14:textId="77777777" w:rsidR="00687930" w:rsidRDefault="00687930" w:rsidP="53A69BB3">
      <w:pPr>
        <w:rPr>
          <w:b/>
        </w:rPr>
      </w:pPr>
    </w:p>
    <w:p w14:paraId="1AB36A9A" w14:textId="22ADB639" w:rsidR="00DF609A" w:rsidRPr="007C1024" w:rsidRDefault="00DF609A" w:rsidP="53A69BB3">
      <w:pPr>
        <w:rPr>
          <w:b/>
        </w:rPr>
      </w:pPr>
      <w:r w:rsidRPr="007C1024">
        <w:rPr>
          <w:b/>
        </w:rPr>
        <w:t>U slučaju online nastave, postignuća učenika će se vredno</w:t>
      </w:r>
      <w:r w:rsidR="006F4D61" w:rsidRPr="007C1024">
        <w:rPr>
          <w:b/>
        </w:rPr>
        <w:t>vati prema elementima vrednovanj</w:t>
      </w:r>
      <w:r w:rsidR="003D7819" w:rsidRPr="007C1024">
        <w:rPr>
          <w:b/>
        </w:rPr>
        <w:t>a u redovnoj nastavi</w:t>
      </w:r>
      <w:r w:rsidR="006F4D61" w:rsidRPr="007C1024">
        <w:rPr>
          <w:b/>
        </w:rPr>
        <w:t xml:space="preserve">. </w:t>
      </w:r>
      <w:r w:rsidR="00544246" w:rsidRPr="007C1024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 w:rsidRPr="007C1024">
        <w:rPr>
          <w:b/>
        </w:rPr>
        <w:t>audiozapis</w:t>
      </w:r>
      <w:proofErr w:type="spellEnd"/>
      <w:r w:rsidR="00544246" w:rsidRPr="007C1024">
        <w:rPr>
          <w:b/>
        </w:rPr>
        <w:t xml:space="preserve"> čitanja i prepričavanja, a usmeno ispitivanje će se provoditi </w:t>
      </w:r>
      <w:proofErr w:type="spellStart"/>
      <w:r w:rsidR="00544246" w:rsidRPr="007C1024">
        <w:rPr>
          <w:b/>
        </w:rPr>
        <w:t>videopozivom</w:t>
      </w:r>
      <w:proofErr w:type="spellEnd"/>
      <w:r w:rsidR="00544246" w:rsidRPr="007C1024">
        <w:rPr>
          <w:b/>
        </w:rPr>
        <w:t>. Također će se vrednovati i aktivnost učenika, tj. njihova prisutnost u virtualnoj učionici i pravovremenost u izvršavanju njihovih obveza.</w:t>
      </w:r>
    </w:p>
    <w:p w14:paraId="700D4E97" w14:textId="77777777" w:rsidR="00DF609A" w:rsidRDefault="00DF609A" w:rsidP="53A69BB3"/>
    <w:sectPr w:rsidR="00DF609A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F02F" w14:textId="77777777" w:rsidR="00C61FD2" w:rsidRDefault="00C61FD2">
      <w:pPr>
        <w:spacing w:after="0" w:line="240" w:lineRule="auto"/>
      </w:pPr>
      <w:r>
        <w:separator/>
      </w:r>
    </w:p>
  </w:endnote>
  <w:endnote w:type="continuationSeparator" w:id="0">
    <w:p w14:paraId="41457ECB" w14:textId="77777777" w:rsidR="00C61FD2" w:rsidRDefault="00C6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09754B5" w14:textId="77777777" w:rsidTr="50961400">
      <w:tc>
        <w:tcPr>
          <w:tcW w:w="5133" w:type="dxa"/>
        </w:tcPr>
        <w:p w14:paraId="3DA073D0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4F87D8C4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2993A7C1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68996311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BBCBF" w14:textId="77777777" w:rsidR="00C61FD2" w:rsidRDefault="00C61FD2">
      <w:pPr>
        <w:spacing w:after="0" w:line="240" w:lineRule="auto"/>
      </w:pPr>
      <w:r>
        <w:separator/>
      </w:r>
    </w:p>
  </w:footnote>
  <w:footnote w:type="continuationSeparator" w:id="0">
    <w:p w14:paraId="3275201A" w14:textId="77777777" w:rsidR="00C61FD2" w:rsidRDefault="00C6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615EB36D" w14:textId="77777777" w:rsidTr="50961400">
      <w:tc>
        <w:tcPr>
          <w:tcW w:w="5133" w:type="dxa"/>
        </w:tcPr>
        <w:p w14:paraId="641BCF5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19EEAB55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742F9B1E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09163B3C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2309431">
    <w:abstractNumId w:val="1"/>
  </w:num>
  <w:num w:numId="2" w16cid:durableId="2073849849">
    <w:abstractNumId w:val="2"/>
  </w:num>
  <w:num w:numId="3" w16cid:durableId="917442612">
    <w:abstractNumId w:val="4"/>
  </w:num>
  <w:num w:numId="4" w16cid:durableId="245723758">
    <w:abstractNumId w:val="3"/>
  </w:num>
  <w:num w:numId="5" w16cid:durableId="13083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40376"/>
    <w:rsid w:val="00051884"/>
    <w:rsid w:val="000632F5"/>
    <w:rsid w:val="00086270"/>
    <w:rsid w:val="000B780D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E1F4C"/>
    <w:rsid w:val="00327191"/>
    <w:rsid w:val="003420CC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87930"/>
    <w:rsid w:val="006D0303"/>
    <w:rsid w:val="006F4D61"/>
    <w:rsid w:val="00704DBB"/>
    <w:rsid w:val="0070753F"/>
    <w:rsid w:val="00723EE3"/>
    <w:rsid w:val="00753D66"/>
    <w:rsid w:val="007C1024"/>
    <w:rsid w:val="0082674F"/>
    <w:rsid w:val="008554D8"/>
    <w:rsid w:val="00941C26"/>
    <w:rsid w:val="00AD044A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1FD2"/>
    <w:rsid w:val="00C65E95"/>
    <w:rsid w:val="00CB0889"/>
    <w:rsid w:val="00CD5E50"/>
    <w:rsid w:val="00DC0A19"/>
    <w:rsid w:val="00DF609A"/>
    <w:rsid w:val="00E03B05"/>
    <w:rsid w:val="00E14BFE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2F5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2024-12-22T13:39:00Z</dcterms:created>
  <dcterms:modified xsi:type="dcterms:W3CDTF">2024-12-22T13:39:00Z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